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rsidRPr="00C02699" w14:paraId="252CC335" w14:textId="77777777" w:rsidTr="00C02699">
        <w:trPr>
          <w:trHeight w:val="311"/>
        </w:trPr>
        <w:tc>
          <w:tcPr>
            <w:tcW w:w="5000" w:type="pct"/>
            <w:gridSpan w:val="2"/>
            <w:shd w:val="clear" w:color="auto" w:fill="DEEAF6" w:themeFill="accent5" w:themeFillTint="33"/>
          </w:tcPr>
          <w:p w14:paraId="2E5F9D92" w14:textId="252827DC" w:rsidR="0018140D" w:rsidRPr="00C02699" w:rsidRDefault="0018140D" w:rsidP="0018140D">
            <w:pPr>
              <w:jc w:val="center"/>
              <w:rPr>
                <w:b/>
                <w:bCs/>
              </w:rPr>
            </w:pPr>
            <w:r w:rsidRPr="00C02699">
              <w:rPr>
                <w:b/>
                <w:bCs/>
              </w:rPr>
              <w:t>Title</w:t>
            </w:r>
          </w:p>
        </w:tc>
      </w:tr>
      <w:tr w:rsidR="0018140D" w:rsidRPr="00C02699" w14:paraId="69D9052B" w14:textId="77777777" w:rsidTr="00C02699">
        <w:trPr>
          <w:trHeight w:val="311"/>
        </w:trPr>
        <w:tc>
          <w:tcPr>
            <w:tcW w:w="5000" w:type="pct"/>
            <w:gridSpan w:val="2"/>
          </w:tcPr>
          <w:p w14:paraId="484F2B4D" w14:textId="77777777" w:rsidR="0018140D" w:rsidRPr="00C02699" w:rsidRDefault="006B4245">
            <w:r w:rsidRPr="00C02699">
              <w:rPr>
                <w:b/>
                <w:bCs/>
              </w:rPr>
              <w:t xml:space="preserve">Berger S, Chen T, Eldridge J, Thomas CA, </w:t>
            </w:r>
            <w:proofErr w:type="spellStart"/>
            <w:r w:rsidRPr="00C02699">
              <w:rPr>
                <w:b/>
                <w:bCs/>
              </w:rPr>
              <w:t>Habermann</w:t>
            </w:r>
            <w:proofErr w:type="spellEnd"/>
            <w:r w:rsidRPr="00C02699">
              <w:rPr>
                <w:b/>
                <w:bCs/>
              </w:rPr>
              <w:t xml:space="preserve"> B, Tickle-</w:t>
            </w:r>
            <w:proofErr w:type="spellStart"/>
            <w:r w:rsidRPr="00C02699">
              <w:rPr>
                <w:b/>
                <w:bCs/>
              </w:rPr>
              <w:t>Degnen</w:t>
            </w:r>
            <w:proofErr w:type="spellEnd"/>
            <w:r w:rsidRPr="00C02699">
              <w:rPr>
                <w:b/>
                <w:bCs/>
              </w:rPr>
              <w:t xml:space="preserve"> L</w:t>
            </w:r>
            <w:r w:rsidRPr="00C02699">
              <w:t>. The self-management balancing act of spousal care partners in the case of Parkinson’s disease. Disability and Rehabilitation. 2019;41(8):887-95.</w:t>
            </w:r>
          </w:p>
          <w:p w14:paraId="3BFCBC85" w14:textId="50903BB3" w:rsidR="006B4245" w:rsidRPr="00C02699" w:rsidRDefault="006B4245"/>
        </w:tc>
      </w:tr>
      <w:tr w:rsidR="00B71184" w:rsidRPr="00C02699" w14:paraId="210ADE38" w14:textId="77777777" w:rsidTr="00C02699">
        <w:trPr>
          <w:trHeight w:val="311"/>
        </w:trPr>
        <w:tc>
          <w:tcPr>
            <w:tcW w:w="2500" w:type="pct"/>
          </w:tcPr>
          <w:p w14:paraId="312E45F6" w14:textId="67E83595" w:rsidR="00B71184" w:rsidRPr="00C02699" w:rsidRDefault="00B71184">
            <w:pPr>
              <w:rPr>
                <w:b/>
                <w:bCs/>
              </w:rPr>
            </w:pPr>
            <w:r w:rsidRPr="00C02699">
              <w:rPr>
                <w:b/>
                <w:bCs/>
              </w:rPr>
              <w:t>Agreement</w:t>
            </w:r>
          </w:p>
        </w:tc>
        <w:tc>
          <w:tcPr>
            <w:tcW w:w="2500" w:type="pct"/>
          </w:tcPr>
          <w:p w14:paraId="2D86A23E" w14:textId="525C74A9" w:rsidR="00B71184" w:rsidRPr="00C02699" w:rsidRDefault="00B71184">
            <w:pPr>
              <w:rPr>
                <w:b/>
                <w:bCs/>
              </w:rPr>
            </w:pPr>
            <w:r w:rsidRPr="00C02699">
              <w:rPr>
                <w:b/>
                <w:bCs/>
              </w:rPr>
              <w:t>0</w:t>
            </w:r>
          </w:p>
        </w:tc>
      </w:tr>
      <w:tr w:rsidR="00C02699" w:rsidRPr="00C02699" w14:paraId="3DD36D6C" w14:textId="77777777" w:rsidTr="00C02699">
        <w:trPr>
          <w:trHeight w:val="311"/>
        </w:trPr>
        <w:tc>
          <w:tcPr>
            <w:tcW w:w="5000" w:type="pct"/>
            <w:gridSpan w:val="2"/>
            <w:shd w:val="clear" w:color="auto" w:fill="F7CAAC" w:themeFill="accent2" w:themeFillTint="66"/>
          </w:tcPr>
          <w:p w14:paraId="4470FE2A" w14:textId="45DB5630" w:rsidR="00C02699" w:rsidRPr="00C02699" w:rsidRDefault="00C02699" w:rsidP="0018140D">
            <w:pPr>
              <w:jc w:val="center"/>
              <w:rPr>
                <w:b/>
                <w:bCs/>
              </w:rPr>
            </w:pPr>
            <w:r w:rsidRPr="00C02699">
              <w:rPr>
                <w:b/>
                <w:bCs/>
              </w:rPr>
              <w:t xml:space="preserve">Agreed </w:t>
            </w:r>
          </w:p>
        </w:tc>
      </w:tr>
      <w:tr w:rsidR="00C02699" w14:paraId="12F66749" w14:textId="77777777" w:rsidTr="00C02699">
        <w:trPr>
          <w:trHeight w:val="311"/>
        </w:trPr>
        <w:tc>
          <w:tcPr>
            <w:tcW w:w="5000" w:type="pct"/>
            <w:gridSpan w:val="2"/>
          </w:tcPr>
          <w:p w14:paraId="53C2ED51" w14:textId="77777777" w:rsidR="00C02699" w:rsidRPr="00C02699" w:rsidRDefault="00C02699" w:rsidP="00C02699">
            <w:pPr>
              <w:autoSpaceDE w:val="0"/>
              <w:autoSpaceDN w:val="0"/>
              <w:adjustRightInd w:val="0"/>
              <w:rPr>
                <w:rFonts w:cstheme="minorHAnsi"/>
              </w:rPr>
            </w:pPr>
            <w:r w:rsidRPr="00C02699">
              <w:rPr>
                <w:rFonts w:cstheme="minorHAnsi"/>
              </w:rPr>
              <w:t>A similar theme emerged when Gladys described her husband’s health conditions in addition to PD. Gladys’s husband is pre-diabetic, but she worries that taking steps to manage his diet for him may further decrease his sense of self and independence. The doctor said to him, “you’re eating too much sugar, you’re prediabetic”.</w:t>
            </w:r>
          </w:p>
          <w:p w14:paraId="78171A62" w14:textId="77777777" w:rsidR="00C02699" w:rsidRPr="00C02699" w:rsidRDefault="00C02699" w:rsidP="00C02699">
            <w:pPr>
              <w:autoSpaceDE w:val="0"/>
              <w:autoSpaceDN w:val="0"/>
              <w:adjustRightInd w:val="0"/>
              <w:rPr>
                <w:rFonts w:cstheme="minorHAnsi"/>
              </w:rPr>
            </w:pPr>
          </w:p>
          <w:p w14:paraId="295C1944" w14:textId="28E6AE95" w:rsidR="00C02699" w:rsidRPr="00C02699" w:rsidRDefault="00C02699" w:rsidP="00C02699">
            <w:pPr>
              <w:autoSpaceDE w:val="0"/>
              <w:autoSpaceDN w:val="0"/>
              <w:adjustRightInd w:val="0"/>
              <w:rPr>
                <w:rFonts w:cstheme="minorHAnsi"/>
              </w:rPr>
            </w:pPr>
            <w:r w:rsidRPr="00C02699">
              <w:rPr>
                <w:rFonts w:cstheme="minorHAnsi"/>
                <w:i/>
                <w:iCs/>
              </w:rPr>
              <w:t xml:space="preserve">And then he doesn’t want to change. And it’s frustrating, because what is it </w:t>
            </w:r>
            <w:proofErr w:type="spellStart"/>
            <w:r w:rsidRPr="00C02699">
              <w:rPr>
                <w:rFonts w:cstheme="minorHAnsi"/>
                <w:i/>
                <w:iCs/>
              </w:rPr>
              <w:t>gonna</w:t>
            </w:r>
            <w:proofErr w:type="spellEnd"/>
            <w:r w:rsidRPr="00C02699">
              <w:rPr>
                <w:rFonts w:cstheme="minorHAnsi"/>
                <w:i/>
                <w:iCs/>
              </w:rPr>
              <w:t xml:space="preserve"> be like for him if he has diabetes and Parkinson’s? And yet, at the same time, I feel, this poor guy, he’s lost so much, you’re going to take something that he enjoys, that piece of chocolate or whatever, away from him?…Well, when he wants that dish of ice cream, and it’s like, you know, you shouldn’t have it…I don’t get it for him. I make him get it himself. </w:t>
            </w:r>
            <w:proofErr w:type="gramStart"/>
            <w:r w:rsidRPr="00C02699">
              <w:rPr>
                <w:rFonts w:cstheme="minorHAnsi"/>
                <w:i/>
                <w:iCs/>
              </w:rPr>
              <w:t>So</w:t>
            </w:r>
            <w:proofErr w:type="gramEnd"/>
            <w:r w:rsidRPr="00C02699">
              <w:rPr>
                <w:rFonts w:cstheme="minorHAnsi"/>
                <w:i/>
                <w:iCs/>
              </w:rPr>
              <w:t xml:space="preserve"> it’s a little bit – if he really wants it, he’s got to move for it</w:t>
            </w:r>
            <w:r w:rsidRPr="00C02699">
              <w:rPr>
                <w:rFonts w:cstheme="minorHAnsi"/>
              </w:rPr>
              <w:t>.</w:t>
            </w:r>
            <w:r w:rsidR="00730897">
              <w:rPr>
                <w:rFonts w:cstheme="minorHAnsi"/>
              </w:rPr>
              <w:t xml:space="preserve"> </w:t>
            </w:r>
            <w:proofErr w:type="spellStart"/>
            <w:r w:rsidR="00730897" w:rsidRPr="00730897">
              <w:rPr>
                <w:rFonts w:cstheme="minorHAnsi"/>
                <w:i/>
                <w:iCs/>
              </w:rPr>
              <w:t>Qcarer</w:t>
            </w:r>
            <w:bookmarkStart w:id="0" w:name="_GoBack"/>
            <w:bookmarkEnd w:id="0"/>
            <w:proofErr w:type="spellEnd"/>
          </w:p>
          <w:p w14:paraId="1A778767" w14:textId="76923216" w:rsidR="00C02699" w:rsidRPr="00C02699" w:rsidRDefault="00C02699" w:rsidP="00C02699">
            <w:pPr>
              <w:autoSpaceDE w:val="0"/>
              <w:autoSpaceDN w:val="0"/>
              <w:adjustRightInd w:val="0"/>
              <w:rPr>
                <w:rFonts w:cstheme="minorHAnsi"/>
                <w:b/>
              </w:rPr>
            </w:pPr>
          </w:p>
          <w:p w14:paraId="30BED0B4" w14:textId="7D47D641" w:rsidR="00C02699" w:rsidRPr="00730897" w:rsidRDefault="00C02699" w:rsidP="00C02699">
            <w:pPr>
              <w:rPr>
                <w:bCs/>
                <w:i/>
                <w:iCs/>
              </w:rPr>
            </w:pPr>
            <w:proofErr w:type="gramStart"/>
            <w:r w:rsidRPr="00730897">
              <w:rPr>
                <w:bCs/>
                <w:i/>
                <w:iCs/>
              </w:rPr>
              <w:t>As long as</w:t>
            </w:r>
            <w:proofErr w:type="gramEnd"/>
            <w:r w:rsidRPr="00730897">
              <w:rPr>
                <w:bCs/>
                <w:i/>
                <w:iCs/>
              </w:rPr>
              <w:t xml:space="preserve"> he stays home safely. I also have a book club, so I can go to my book club once a month. I don’t go out as often with friends for lunch and things, because number one, we’re running to the doctor’s or the physical therapist, and number two, I feel badly leaving him home while I go out to eat. I do it. I know, I realize it’s important for me to maintain that contact with my friends.</w:t>
            </w:r>
            <w:r w:rsidR="00730897" w:rsidRPr="00730897">
              <w:rPr>
                <w:bCs/>
                <w:i/>
                <w:iCs/>
              </w:rPr>
              <w:t xml:space="preserve"> </w:t>
            </w:r>
            <w:proofErr w:type="spellStart"/>
            <w:r w:rsidR="00730897" w:rsidRPr="00730897">
              <w:rPr>
                <w:bCs/>
                <w:i/>
                <w:iCs/>
              </w:rPr>
              <w:t>Qcarer</w:t>
            </w:r>
            <w:proofErr w:type="spellEnd"/>
          </w:p>
          <w:p w14:paraId="6198749F" w14:textId="77777777" w:rsidR="00C02699" w:rsidRPr="00730897" w:rsidRDefault="00C02699" w:rsidP="00C02699">
            <w:pPr>
              <w:autoSpaceDE w:val="0"/>
              <w:autoSpaceDN w:val="0"/>
              <w:adjustRightInd w:val="0"/>
              <w:rPr>
                <w:rFonts w:cstheme="minorHAnsi"/>
                <w:b/>
                <w:i/>
                <w:iCs/>
              </w:rPr>
            </w:pPr>
          </w:p>
          <w:p w14:paraId="6436520B" w14:textId="77777777" w:rsidR="00C02699" w:rsidRDefault="00C02699" w:rsidP="0018140D">
            <w:pPr>
              <w:jc w:val="center"/>
            </w:pPr>
          </w:p>
        </w:tc>
      </w:tr>
    </w:tbl>
    <w:p w14:paraId="03F9E294" w14:textId="77777777" w:rsidR="001F7D95" w:rsidRDefault="001F7D95"/>
    <w:sectPr w:rsidR="001F7D95" w:rsidSect="00C026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53420"/>
    <w:rsid w:val="0018140D"/>
    <w:rsid w:val="001F7D95"/>
    <w:rsid w:val="003415C6"/>
    <w:rsid w:val="006B4245"/>
    <w:rsid w:val="00730897"/>
    <w:rsid w:val="00755AE9"/>
    <w:rsid w:val="00B71184"/>
    <w:rsid w:val="00BF5A0C"/>
    <w:rsid w:val="00C026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DC9B4-8088-456B-A206-ED3CF694B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7</cp:revision>
  <dcterms:created xsi:type="dcterms:W3CDTF">2020-06-09T10:49:00Z</dcterms:created>
  <dcterms:modified xsi:type="dcterms:W3CDTF">2020-07-07T15:22:00Z</dcterms:modified>
</cp:coreProperties>
</file>